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895" w:rsidRDefault="003D16C7">
      <w:pPr>
        <w:pStyle w:val="20"/>
        <w:shd w:val="clear" w:color="auto" w:fill="auto"/>
        <w:spacing w:after="669" w:line="180" w:lineRule="exact"/>
        <w:ind w:left="540"/>
      </w:pPr>
      <w:bookmarkStart w:id="0" w:name="_GoBack"/>
      <w:bookmarkEnd w:id="0"/>
      <w:r>
        <w:t>г. Абакан</w:t>
      </w:r>
    </w:p>
    <w:p w:rsidR="008D4895" w:rsidRDefault="0062002A" w:rsidP="0062002A">
      <w:pPr>
        <w:pStyle w:val="20"/>
        <w:shd w:val="clear" w:color="auto" w:fill="auto"/>
        <w:spacing w:after="133" w:line="216" w:lineRule="exact"/>
        <w:jc w:val="both"/>
      </w:pPr>
      <w:proofErr w:type="spellStart"/>
      <w:r>
        <w:t>_______________________________________</w:t>
      </w:r>
      <w:r w:rsidR="003D16C7">
        <w:t>с</w:t>
      </w:r>
      <w:proofErr w:type="spellEnd"/>
      <w:r w:rsidR="003D16C7">
        <w:t xml:space="preserve"> одной стороны, и Филиал ФАУ МО РФ "Центральный спортивный клуб Армии", именуемый в дальнейшем "Заказчик", в лице начальника филиала ФАУ МО РФ ЦСКА Краснова Валерия Владимировича, действующего на основании Положения о филиале и доверенности от 31.03,2017г. №53Д с другой стороны, заключили настоящий договор о нижеследующем.</w:t>
      </w:r>
    </w:p>
    <w:p w:rsidR="008D4895" w:rsidRDefault="003D16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19"/>
        </w:tabs>
        <w:spacing w:before="0" w:after="37" w:line="200" w:lineRule="exact"/>
        <w:ind w:left="640"/>
      </w:pPr>
      <w:bookmarkStart w:id="1" w:name="bookmark0"/>
      <w:r>
        <w:t>Предмет Договора</w:t>
      </w:r>
      <w:bookmarkEnd w:id="1"/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16" w:lineRule="exact"/>
        <w:jc w:val="both"/>
      </w:pPr>
      <w:r>
        <w:t xml:space="preserve">Исполнитель обязуется по заявлению Заказчика осуществлять санитарно-эпидемиологические экспертизы, обследования, исследования, испытания, токсикологические, гигиенические и иные виды оценок проектной документации, объектов хозяйственной и иной деятельности, продукции, видов деятельности (работ, услуг) в целях установления соответствия (несоответствия) санитарным нормам и правилам, а Заказчик обязуется принять и оплатить проведенные работы и услуги, в </w:t>
      </w:r>
      <w:proofErr w:type="gramStart"/>
      <w:r>
        <w:t>сроки</w:t>
      </w:r>
      <w:proofErr w:type="gramEnd"/>
      <w:r>
        <w:t xml:space="preserve"> установленные в ориентировочном расчете (Приложение №1) к настоящему договору.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16" w:lineRule="exact"/>
        <w:jc w:val="both"/>
      </w:pPr>
      <w:r>
        <w:t xml:space="preserve">В случае переноса срока исполнения договора </w:t>
      </w:r>
      <w:proofErr w:type="spellStart"/>
      <w:r>
        <w:t>указаного</w:t>
      </w:r>
      <w:proofErr w:type="spellEnd"/>
      <w:r>
        <w:t xml:space="preserve"> в ориентировочном расчете, а так же отказа от исполнения договора в </w:t>
      </w:r>
      <w:proofErr w:type="spellStart"/>
      <w:r>
        <w:t>установленом</w:t>
      </w:r>
      <w:proofErr w:type="spellEnd"/>
      <w:r>
        <w:t xml:space="preserve"> сроке со стороны Заказчика или Исполнителя, любая из сторон обязана уведомить другую сторону письменно за 3 дня до исполнения, с указанием причин отказа или переноса срока.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after="0" w:line="216" w:lineRule="exact"/>
        <w:jc w:val="both"/>
      </w:pPr>
      <w:r>
        <w:t xml:space="preserve">При неисполнении пункта 1.2 Заказчиком, дата выполнения работ (оказания услуг) будет назначена </w:t>
      </w:r>
      <w:proofErr w:type="spellStart"/>
      <w:r>
        <w:t>Истолнителем</w:t>
      </w:r>
      <w:proofErr w:type="spellEnd"/>
      <w:r>
        <w:t xml:space="preserve"> по его графику работ.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18"/>
        </w:tabs>
        <w:spacing w:after="0" w:line="180" w:lineRule="exact"/>
        <w:jc w:val="both"/>
      </w:pPr>
      <w:r>
        <w:t>Исполнитель обязуется осуществлять указанные в п.1.1 работы и услуги на следующих объектах Заказчика:</w:t>
      </w:r>
    </w:p>
    <w:p w:rsidR="008D4895" w:rsidRDefault="003D16C7">
      <w:pPr>
        <w:pStyle w:val="20"/>
        <w:shd w:val="clear" w:color="auto" w:fill="auto"/>
        <w:spacing w:after="0" w:line="180" w:lineRule="exact"/>
        <w:jc w:val="both"/>
      </w:pPr>
      <w:r>
        <w:t>УСТК "Атлант с бассейном". Ул. Пирятинская , 38"А"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30" w:lineRule="exact"/>
        <w:jc w:val="both"/>
      </w:pPr>
      <w:r>
        <w:t>Работы по настоящему договору производятся Исполнителем в сроки, указанные в Приложении №1 данного договора.</w:t>
      </w:r>
    </w:p>
    <w:p w:rsidR="008D4895" w:rsidRDefault="003D16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0" w:line="200" w:lineRule="exact"/>
        <w:ind w:left="640"/>
      </w:pPr>
      <w:bookmarkStart w:id="2" w:name="bookmark1"/>
      <w:r>
        <w:t>Цена договора</w:t>
      </w:r>
      <w:bookmarkEnd w:id="2"/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0" w:line="211" w:lineRule="exact"/>
        <w:jc w:val="both"/>
      </w:pPr>
      <w:r>
        <w:t xml:space="preserve">Ориентировочная стоимость </w:t>
      </w:r>
      <w:proofErr w:type="gramStart"/>
      <w:r>
        <w:t>работ, выполняемых Исполнителем по настоящему договору составляет</w:t>
      </w:r>
      <w:proofErr w:type="gramEnd"/>
    </w:p>
    <w:p w:rsidR="008D4895" w:rsidRDefault="003D16C7">
      <w:pPr>
        <w:pStyle w:val="20"/>
        <w:shd w:val="clear" w:color="auto" w:fill="auto"/>
        <w:spacing w:after="0" w:line="211" w:lineRule="exact"/>
        <w:ind w:firstLine="460"/>
        <w:jc w:val="both"/>
      </w:pPr>
      <w:r>
        <w:t>и отражается в ориентировочном расчете (Приложении №1) к данному договору. Окончательная стоимость работ указывается в счете, выписанном на основании направления специалиста и действующего подписанного руководителем прейскуранта цен Исполнителя.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11" w:lineRule="exact"/>
        <w:jc w:val="both"/>
      </w:pPr>
      <w:r>
        <w:t xml:space="preserve">Перечень и кратность проведения работ и услуг, выписанных в счетах, определяется нормативными актами, регламентирующими проведение санитарно-эпидемиологических экспертиз, обследований, исследований, испытаний и </w:t>
      </w:r>
      <w:proofErr w:type="spellStart"/>
      <w:r>
        <w:t>токсилогических</w:t>
      </w:r>
      <w:proofErr w:type="spellEnd"/>
      <w:r>
        <w:t>, гигиенических и иных видов проектной документации, объектов хозяйственной и иной деятельности, продукции, видов деятельности (работ, услуг).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0" w:line="211" w:lineRule="exact"/>
        <w:jc w:val="both"/>
      </w:pPr>
      <w:r>
        <w:t xml:space="preserve">На основании счета Заказчик производит предоплату в размере </w:t>
      </w:r>
      <w:r>
        <w:rPr>
          <w:rStyle w:val="28pt-1pt"/>
        </w:rPr>
        <w:t>/</w:t>
      </w:r>
      <w:proofErr w:type="gramStart"/>
      <w:r>
        <w:rPr>
          <w:rStyle w:val="28pt-1pt"/>
        </w:rPr>
        <w:t>о</w:t>
      </w:r>
      <w:proofErr w:type="gramEnd"/>
      <w:r>
        <w:t xml:space="preserve"> </w:t>
      </w:r>
      <w:proofErr w:type="gramStart"/>
      <w:r>
        <w:t>путем</w:t>
      </w:r>
      <w:proofErr w:type="gramEnd"/>
      <w:r>
        <w:t xml:space="preserve"> перечисления денежных средств на расчетный счет Исполнителя, либо путем внесения денежных средств в кассу учреждения.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189" w:line="211" w:lineRule="exact"/>
        <w:jc w:val="both"/>
      </w:pPr>
      <w:r>
        <w:t>При оплате в платежных документах Заказчик обязан указывать номер и дату настоящего договора или счета. В противном случае Исполнитель вправе принимать денежные средства в счет расчетов по любому заключенному с Заказчиком договору.</w:t>
      </w:r>
    </w:p>
    <w:p w:rsidR="008D4895" w:rsidRDefault="003D16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75" w:line="200" w:lineRule="exact"/>
        <w:ind w:left="640"/>
      </w:pPr>
      <w:bookmarkStart w:id="3" w:name="bookmark2"/>
      <w:r>
        <w:t>Обязанности сторон</w:t>
      </w:r>
      <w:bookmarkEnd w:id="3"/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after="0" w:line="180" w:lineRule="exact"/>
        <w:jc w:val="both"/>
      </w:pPr>
      <w:r>
        <w:t>Заказчик обязан:</w:t>
      </w:r>
    </w:p>
    <w:p w:rsidR="008D4895" w:rsidRDefault="003D16C7">
      <w:pPr>
        <w:pStyle w:val="20"/>
        <w:numPr>
          <w:ilvl w:val="2"/>
          <w:numId w:val="1"/>
        </w:numPr>
        <w:shd w:val="clear" w:color="auto" w:fill="auto"/>
        <w:tabs>
          <w:tab w:val="left" w:pos="582"/>
        </w:tabs>
        <w:spacing w:after="0" w:line="216" w:lineRule="exact"/>
        <w:jc w:val="both"/>
      </w:pPr>
      <w:r>
        <w:t>Принять и оплатить Исполнителю работу, предусматриваемую разделом 1 настоящего договора, в размерах и в сроки, определяемые договором.</w:t>
      </w:r>
    </w:p>
    <w:p w:rsidR="008D4895" w:rsidRDefault="003D16C7">
      <w:pPr>
        <w:pStyle w:val="20"/>
        <w:numPr>
          <w:ilvl w:val="2"/>
          <w:numId w:val="1"/>
        </w:numPr>
        <w:shd w:val="clear" w:color="auto" w:fill="auto"/>
        <w:tabs>
          <w:tab w:val="left" w:pos="582"/>
        </w:tabs>
        <w:spacing w:after="0" w:line="216" w:lineRule="exact"/>
        <w:jc w:val="both"/>
      </w:pPr>
      <w:r>
        <w:t xml:space="preserve">В случае получения неудовлетворительных результатов лабораторных исследований, повторные исследования, выполненные в порядке </w:t>
      </w:r>
      <w:proofErr w:type="gramStart"/>
      <w:r>
        <w:t>контроля за</w:t>
      </w:r>
      <w:proofErr w:type="gramEnd"/>
      <w:r>
        <w:t xml:space="preserve"> мероприятием по устранению выявленных нарушений санитарных требований, Заказчик оплачивает дополнительно.</w:t>
      </w:r>
    </w:p>
    <w:p w:rsidR="008D4895" w:rsidRDefault="003D16C7">
      <w:pPr>
        <w:pStyle w:val="20"/>
        <w:numPr>
          <w:ilvl w:val="2"/>
          <w:numId w:val="1"/>
        </w:numPr>
        <w:shd w:val="clear" w:color="auto" w:fill="auto"/>
        <w:tabs>
          <w:tab w:val="left" w:pos="586"/>
        </w:tabs>
        <w:spacing w:after="51" w:line="180" w:lineRule="exact"/>
        <w:jc w:val="both"/>
      </w:pPr>
      <w:r>
        <w:t>Обеспечить Исполнителю условия для проведения лабораторных исследований и иных работ и услуг.</w:t>
      </w:r>
    </w:p>
    <w:p w:rsidR="008D4895" w:rsidRDefault="003D16C7">
      <w:pPr>
        <w:pStyle w:val="20"/>
        <w:shd w:val="clear" w:color="auto" w:fill="auto"/>
        <w:spacing w:after="0" w:line="221" w:lineRule="exact"/>
        <w:jc w:val="both"/>
      </w:pPr>
      <w:r>
        <w:t xml:space="preserve">3.1.4 Заказчик при обнаружении недостатков в работах, которые произошли по вине Исполнителя, предъявляет требования об их устранении до подписания акта об оказании услуг. </w:t>
      </w:r>
      <w:proofErr w:type="gramStart"/>
      <w:r>
        <w:t>Заказчик</w:t>
      </w:r>
      <w:proofErr w:type="gramEnd"/>
      <w:r>
        <w:t xml:space="preserve"> принявший работу без проверки, лишается права ссылаться на недостатки работы (услуги).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after="54" w:line="180" w:lineRule="exact"/>
        <w:jc w:val="both"/>
      </w:pPr>
      <w:r>
        <w:t>Исполнитель обязан:</w:t>
      </w:r>
    </w:p>
    <w:p w:rsidR="008D4895" w:rsidRDefault="003D16C7">
      <w:pPr>
        <w:pStyle w:val="20"/>
        <w:numPr>
          <w:ilvl w:val="2"/>
          <w:numId w:val="1"/>
        </w:numPr>
        <w:shd w:val="clear" w:color="auto" w:fill="auto"/>
        <w:tabs>
          <w:tab w:val="left" w:pos="586"/>
        </w:tabs>
        <w:spacing w:after="0" w:line="211" w:lineRule="exact"/>
        <w:jc w:val="both"/>
      </w:pPr>
      <w:r>
        <w:t>Своими силами и средствами выполнять работы в сроки, предусмотренные договором, и выдать Заказчику акт выполненных работ по окончанию выполнения работ.</w:t>
      </w:r>
    </w:p>
    <w:p w:rsidR="008D4895" w:rsidRDefault="003D16C7">
      <w:pPr>
        <w:pStyle w:val="20"/>
        <w:shd w:val="clear" w:color="auto" w:fill="auto"/>
        <w:spacing w:after="0" w:line="211" w:lineRule="exact"/>
        <w:jc w:val="both"/>
      </w:pPr>
      <w:r>
        <w:t>3.2.2 Выдача результатов исследований и анализов может быть приостановлена Исполнителем в случае не подписания акта выполненных работ (оказанных услуг) Заказчиком, а так же в связи с отсутствием оплаты.</w:t>
      </w:r>
    </w:p>
    <w:p w:rsidR="008D4895" w:rsidRDefault="003D16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34"/>
        </w:tabs>
        <w:spacing w:before="0" w:after="50" w:line="200" w:lineRule="exact"/>
        <w:ind w:left="640"/>
      </w:pPr>
      <w:bookmarkStart w:id="4" w:name="bookmark3"/>
      <w:r>
        <w:t>Ответственность сторон</w:t>
      </w:r>
      <w:bookmarkEnd w:id="4"/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586"/>
        </w:tabs>
        <w:spacing w:after="0" w:line="211" w:lineRule="exact"/>
        <w:jc w:val="both"/>
      </w:pPr>
      <w:r>
        <w:t>За неисполнение или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11" w:lineRule="exact"/>
        <w:jc w:val="both"/>
      </w:pPr>
      <w:r>
        <w:t>Стороны освобождаются от ответственности за частичное или полное неисполнение условий настоящего договора, если оно явилось следствием обстоятельств непреодолимой силы.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21" w:lineRule="exact"/>
        <w:ind w:right="1140"/>
        <w:sectPr w:rsidR="008D4895">
          <w:headerReference w:type="default" r:id="rId7"/>
          <w:pgSz w:w="11900" w:h="16840"/>
          <w:pgMar w:top="782" w:right="493" w:bottom="1383" w:left="689" w:header="0" w:footer="3" w:gutter="0"/>
          <w:cols w:space="720"/>
          <w:noEndnote/>
          <w:docGrid w:linePitch="360"/>
        </w:sectPr>
      </w:pPr>
      <w:r>
        <w:t xml:space="preserve">В случае нарушения Заказчиком срока оплаты за выполненные работы (услуги) по условиям настоящего договора, Исполнитель </w:t>
      </w:r>
      <w:proofErr w:type="gramStart"/>
      <w:r>
        <w:t>в праве</w:t>
      </w:r>
      <w:proofErr w:type="gramEnd"/>
      <w:r>
        <w:t xml:space="preserve"> применить неустойку в размере 0,1% от стоимости выполняемых работ (оказанных услуг), за каждый день просрочки до момента исполнения обязательств.</w:t>
      </w:r>
    </w:p>
    <w:p w:rsidR="008D4895" w:rsidRDefault="003D16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24"/>
        </w:tabs>
        <w:spacing w:before="0" w:after="9" w:line="200" w:lineRule="exact"/>
        <w:ind w:left="640"/>
      </w:pPr>
      <w:bookmarkStart w:id="5" w:name="bookmark4"/>
      <w:r>
        <w:lastRenderedPageBreak/>
        <w:t>Порядок разрешения споров</w:t>
      </w:r>
      <w:bookmarkEnd w:id="5"/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11" w:lineRule="exact"/>
        <w:jc w:val="both"/>
      </w:pPr>
      <w:r>
        <w:t>Споры, возникшие при исполнении договора, рассматриваются в Арбитражном суде Республике Хакасия. 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3"/>
        </w:tabs>
        <w:spacing w:after="0" w:line="211" w:lineRule="exact"/>
        <w:jc w:val="both"/>
      </w:pPr>
      <w:r>
        <w:t xml:space="preserve">Срок рассмотрения претензии </w:t>
      </w:r>
      <w:r>
        <w:rPr>
          <w:rStyle w:val="21"/>
        </w:rPr>
        <w:t xml:space="preserve">- </w:t>
      </w:r>
      <w:r>
        <w:t>10 (десять) календарных дней со дня ее получения. Если в указанный срок требования полностью не удовлетворены, Сторона, право которой нарушено, вправе обратиться с иском в суд.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after="0" w:line="211" w:lineRule="exact"/>
        <w:jc w:val="both"/>
      </w:pPr>
      <w:r>
        <w:t>Претензии и иные юридически значимые сообщения могут быть направлены Сторонами друг другу одним из нижеперечисленных способов:</w:t>
      </w:r>
    </w:p>
    <w:p w:rsidR="008D4895" w:rsidRDefault="003D16C7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after="0" w:line="211" w:lineRule="exact"/>
        <w:jc w:val="both"/>
      </w:pPr>
      <w:r>
        <w:t>письмом на электронный почтовый ящик (адрес заказчика и исполнителя;</w:t>
      </w:r>
    </w:p>
    <w:p w:rsidR="008D4895" w:rsidRDefault="003D16C7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after="0" w:line="211" w:lineRule="exact"/>
        <w:jc w:val="both"/>
      </w:pPr>
      <w:r>
        <w:t>ценным письмом с описью вложения по адресу места нахождения (места жительства) Стороны;</w:t>
      </w:r>
    </w:p>
    <w:p w:rsidR="008D4895" w:rsidRDefault="003D16C7">
      <w:pPr>
        <w:pStyle w:val="20"/>
        <w:numPr>
          <w:ilvl w:val="0"/>
          <w:numId w:val="2"/>
        </w:numPr>
        <w:shd w:val="clear" w:color="auto" w:fill="auto"/>
        <w:tabs>
          <w:tab w:val="left" w:pos="322"/>
        </w:tabs>
        <w:spacing w:after="0" w:line="211" w:lineRule="exact"/>
        <w:jc w:val="both"/>
      </w:pPr>
      <w:r>
        <w:t>передача лично Стороне или его уполномоченному представителю под роспись либо по передаточному акту.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0" w:line="211" w:lineRule="exact"/>
        <w:jc w:val="both"/>
      </w:pPr>
      <w:r>
        <w:t xml:space="preserve">Стороны признают юридическую силу за юридически значимыми сообщениями, полученными путем обмена </w:t>
      </w:r>
      <w:proofErr w:type="spellStart"/>
      <w:proofErr w:type="gramStart"/>
      <w:r>
        <w:t>скан-копиями</w:t>
      </w:r>
      <w:proofErr w:type="spellEnd"/>
      <w:proofErr w:type="gramEnd"/>
      <w:r>
        <w:t xml:space="preserve"> по электронной почте, а также равенство юридической силы таких сообщений с оригиналами документов, оформленных на бумажных носителях.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after="0" w:line="211" w:lineRule="exact"/>
        <w:jc w:val="both"/>
      </w:pPr>
      <w:r>
        <w:t xml:space="preserve">Стороны допускают представление </w:t>
      </w:r>
      <w:proofErr w:type="spellStart"/>
      <w:proofErr w:type="gramStart"/>
      <w:r>
        <w:t>скан-копий</w:t>
      </w:r>
      <w:proofErr w:type="spellEnd"/>
      <w:proofErr w:type="gramEnd"/>
      <w:r>
        <w:t xml:space="preserve">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3"/>
        </w:tabs>
        <w:spacing w:after="489" w:line="211" w:lineRule="exact"/>
        <w:jc w:val="both"/>
      </w:pPr>
      <w:r>
        <w:t xml:space="preserve">Стороны обязуются ограничить доступ посторонних лиц к своим электронным почтовым ящикам. Стороны </w:t>
      </w:r>
      <w:proofErr w:type="spellStart"/>
      <w:r>
        <w:t>презюмируют</w:t>
      </w:r>
      <w:proofErr w:type="spellEnd"/>
      <w:r>
        <w:t>, что именно Сторона, с чьего электронной почтового ящика направлено сообщение, его направила.</w:t>
      </w:r>
    </w:p>
    <w:p w:rsidR="008D4895" w:rsidRDefault="003D16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29"/>
        </w:tabs>
        <w:spacing w:before="0" w:after="226" w:line="200" w:lineRule="exact"/>
        <w:ind w:left="640"/>
      </w:pPr>
      <w:bookmarkStart w:id="6" w:name="bookmark5"/>
      <w:r>
        <w:t>Прочие условия</w:t>
      </w:r>
      <w:bookmarkEnd w:id="6"/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0" w:line="216" w:lineRule="exact"/>
        <w:jc w:val="both"/>
      </w:pPr>
      <w:r>
        <w:t>Во всем остальном, что не предусмотрено договором, стороны руководствуются действующим законодательством.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0" w:line="216" w:lineRule="exact"/>
        <w:jc w:val="both"/>
      </w:pPr>
      <w:r>
        <w:t>Все изменения и дополнения к настоящему договору оформляются в письменном виде путем подписания сторонами дополнительного соглашения.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60" w:line="216" w:lineRule="exact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указанные в Приложении №1 к настоящему договору работы и услуги не выполняются по инициативе Заказчика в течение квартала при отсутствии от последнего уведомления о приостановлении деятельности, договор считается автоматически расторгнутым с направлением уведомления о расторжении Заказчику и Управлению Федеральной службы по надзору в сфере защиты прав потребителей и благополучия человека по Республике Хакасия.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38"/>
        </w:tabs>
        <w:spacing w:after="0" w:line="216" w:lineRule="exact"/>
        <w:jc w:val="both"/>
      </w:pPr>
      <w:r>
        <w:t xml:space="preserve">Настоящий договор вступает в силу с момента подписания и действует до 31.12.2018 года, по </w:t>
      </w:r>
      <w:proofErr w:type="gramStart"/>
      <w:r>
        <w:t>истечении</w:t>
      </w:r>
      <w:proofErr w:type="gramEnd"/>
      <w:r>
        <w:t xml:space="preserve"> срока действия он считается продленным на тех же условиях, на тот же срок, если до окончания срока его действия ни одна из сторон не заявит о его прекращении или изменении, либо о заключении нового договора.</w:t>
      </w:r>
    </w:p>
    <w:p w:rsidR="008D4895" w:rsidRDefault="003D16C7">
      <w:pPr>
        <w:pStyle w:val="20"/>
        <w:numPr>
          <w:ilvl w:val="1"/>
          <w:numId w:val="1"/>
        </w:numPr>
        <w:shd w:val="clear" w:color="auto" w:fill="auto"/>
        <w:tabs>
          <w:tab w:val="left" w:pos="428"/>
        </w:tabs>
        <w:spacing w:after="0" w:line="216" w:lineRule="exact"/>
        <w:jc w:val="both"/>
      </w:pPr>
      <w:r>
        <w:t>Настоящий договор составлен в двух экземплярах, имеющих одинаковую юридическую силу. Один экземпляр находится у Заказчика, другой - у Исполнителя.</w:t>
      </w:r>
    </w:p>
    <w:p w:rsidR="0062002A" w:rsidRDefault="003D16C7" w:rsidP="0062002A">
      <w:pPr>
        <w:pStyle w:val="20"/>
        <w:numPr>
          <w:ilvl w:val="1"/>
          <w:numId w:val="1"/>
        </w:numPr>
        <w:shd w:val="clear" w:color="auto" w:fill="auto"/>
        <w:tabs>
          <w:tab w:val="left" w:pos="433"/>
        </w:tabs>
        <w:spacing w:after="193" w:line="216" w:lineRule="exact"/>
        <w:jc w:val="both"/>
      </w:pPr>
      <w:r>
        <w:t xml:space="preserve">Экземпляры </w:t>
      </w:r>
      <w:proofErr w:type="spellStart"/>
      <w:r>
        <w:t>договора</w:t>
      </w:r>
      <w:proofErr w:type="gramStart"/>
      <w:r>
        <w:t>,п</w:t>
      </w:r>
      <w:proofErr w:type="gramEnd"/>
      <w:r>
        <w:t>риложений</w:t>
      </w:r>
      <w:proofErr w:type="spellEnd"/>
      <w:r>
        <w:t xml:space="preserve"> к нему, других документов, в том числе бухгалтерских документов, возникающих в ходе исполнения настоящего договора, переданные с помощью </w:t>
      </w:r>
      <w:proofErr w:type="spellStart"/>
      <w:r>
        <w:t>факсимальной</w:t>
      </w:r>
      <w:proofErr w:type="spellEnd"/>
      <w:r>
        <w:t xml:space="preserve"> связи, подписанные электронно-цифровой подписью считается имеющими юридическую силу. Оригинальные экземпляры одновременно должны быть высланы адресату по почте заказным письмом с уведомлением или нарочным.</w:t>
      </w:r>
    </w:p>
    <w:p w:rsidR="008D4895" w:rsidRDefault="003D16C7" w:rsidP="0062002A">
      <w:pPr>
        <w:pStyle w:val="20"/>
        <w:numPr>
          <w:ilvl w:val="1"/>
          <w:numId w:val="1"/>
        </w:numPr>
        <w:shd w:val="clear" w:color="auto" w:fill="auto"/>
        <w:tabs>
          <w:tab w:val="left" w:pos="433"/>
        </w:tabs>
        <w:spacing w:after="193" w:line="216" w:lineRule="exact"/>
        <w:jc w:val="both"/>
      </w:pPr>
      <w:r>
        <w:t>Вся информация, сведения и выводы, характеризующие состояние и деятельность Сторон, полученные в результате оказания услуг, являются коммерческой тайной и не подлежат разглашению или передаче третьим лицам, публикации в научно-популярных изданиях в любых целях без письменного согласия Сторон, если иное не предусмотрено законодательством Российской Федерации.</w:t>
      </w:r>
    </w:p>
    <w:p w:rsidR="008D4895" w:rsidRDefault="003D16C7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940"/>
        </w:tabs>
        <w:spacing w:before="0" w:after="129" w:line="200" w:lineRule="exact"/>
        <w:ind w:left="620"/>
      </w:pPr>
      <w:bookmarkStart w:id="7" w:name="bookmark6"/>
      <w:r>
        <w:t>Юридические адреса и банковские реквизиты сторон</w:t>
      </w:r>
      <w:bookmarkEnd w:id="7"/>
    </w:p>
    <w:p w:rsidR="008D4895" w:rsidRDefault="003D16C7">
      <w:pPr>
        <w:pStyle w:val="10"/>
        <w:keepNext/>
        <w:keepLines/>
        <w:shd w:val="clear" w:color="auto" w:fill="auto"/>
        <w:spacing w:before="0" w:after="230" w:line="200" w:lineRule="exact"/>
        <w:ind w:left="5700"/>
        <w:jc w:val="left"/>
      </w:pPr>
      <w:bookmarkStart w:id="8" w:name="bookmark7"/>
      <w:r>
        <w:t>ЗАКАЗЧИК:</w:t>
      </w:r>
      <w:bookmarkEnd w:id="8"/>
    </w:p>
    <w:p w:rsidR="008D4895" w:rsidRDefault="003D16C7">
      <w:pPr>
        <w:pStyle w:val="20"/>
        <w:shd w:val="clear" w:color="auto" w:fill="auto"/>
        <w:spacing w:after="149" w:line="211" w:lineRule="exact"/>
        <w:ind w:left="5700"/>
      </w:pPr>
      <w:r>
        <w:t>Адрес: Филиал ФАУ МО РФ "Центральный спортивный клуб Армии"</w:t>
      </w:r>
    </w:p>
    <w:p w:rsidR="008D4895" w:rsidRDefault="003D16C7">
      <w:pPr>
        <w:pStyle w:val="20"/>
        <w:shd w:val="clear" w:color="auto" w:fill="auto"/>
        <w:spacing w:after="476" w:line="250" w:lineRule="exact"/>
        <w:ind w:left="5700"/>
      </w:pPr>
      <w:r>
        <w:t xml:space="preserve">443071, г. Самара, Волжский проспект, д.10 ИНН 7714317863 КПП 631543001 </w:t>
      </w:r>
      <w:proofErr w:type="spellStart"/>
      <w:proofErr w:type="gramStart"/>
      <w:r>
        <w:t>р</w:t>
      </w:r>
      <w:proofErr w:type="spellEnd"/>
      <w:proofErr w:type="gramEnd"/>
      <w:r>
        <w:t>/с 40501810836012000002</w:t>
      </w:r>
    </w:p>
    <w:p w:rsidR="008D4895" w:rsidRDefault="003D16C7">
      <w:pPr>
        <w:pStyle w:val="20"/>
        <w:shd w:val="clear" w:color="auto" w:fill="auto"/>
        <w:spacing w:after="207" w:line="180" w:lineRule="exact"/>
        <w:ind w:left="5700"/>
      </w:pPr>
      <w:r>
        <w:t>ОТДЕЛЕНИЕ САМАРА</w:t>
      </w:r>
    </w:p>
    <w:p w:rsidR="0062002A" w:rsidRDefault="003D16C7" w:rsidP="0062002A">
      <w:pPr>
        <w:pStyle w:val="20"/>
        <w:shd w:val="clear" w:color="auto" w:fill="auto"/>
        <w:spacing w:after="0" w:line="245" w:lineRule="exact"/>
        <w:ind w:left="5700"/>
      </w:pPr>
      <w:r>
        <w:t>БИК 043601001 Тел (846) 222-91-05</w:t>
      </w:r>
    </w:p>
    <w:p w:rsidR="008D4895" w:rsidRDefault="003D16C7">
      <w:pPr>
        <w:pStyle w:val="50"/>
        <w:shd w:val="clear" w:color="auto" w:fill="auto"/>
        <w:spacing w:after="560" w:line="200" w:lineRule="exact"/>
        <w:ind w:left="3320"/>
      </w:pPr>
      <w:r>
        <w:lastRenderedPageBreak/>
        <w:t>Ориентировочный расчет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98"/>
        <w:gridCol w:w="2827"/>
        <w:gridCol w:w="605"/>
        <w:gridCol w:w="605"/>
        <w:gridCol w:w="648"/>
        <w:gridCol w:w="595"/>
        <w:gridCol w:w="629"/>
        <w:gridCol w:w="754"/>
      </w:tblGrid>
      <w:tr w:rsidR="008D4895">
        <w:trPr>
          <w:trHeight w:hRule="exact" w:val="514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№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65pt"/>
              </w:rPr>
              <w:t>Наименование</w:t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before="60" w:after="0" w:line="130" w:lineRule="exact"/>
              <w:jc w:val="center"/>
            </w:pPr>
            <w:r>
              <w:rPr>
                <w:rStyle w:val="265pt"/>
              </w:rPr>
              <w:t>товара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Единица</w:t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proofErr w:type="spellStart"/>
            <w:r>
              <w:rPr>
                <w:rStyle w:val="265pt"/>
              </w:rPr>
              <w:t>изме</w:t>
            </w:r>
            <w:proofErr w:type="spellEnd"/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рения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jc w:val="righ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200"/>
            </w:pPr>
            <w:r>
              <w:rPr>
                <w:rStyle w:val="265pt"/>
              </w:rPr>
              <w:t>1КВ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200"/>
            </w:pPr>
            <w:r>
              <w:rPr>
                <w:rStyle w:val="265pt"/>
              </w:rPr>
              <w:t>2КВ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jc w:val="righ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180"/>
            </w:pPr>
            <w:r>
              <w:rPr>
                <w:rStyle w:val="265pt"/>
              </w:rPr>
              <w:t>ЗКВ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jc w:val="right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  <w:ind w:left="200"/>
            </w:pPr>
            <w:r>
              <w:rPr>
                <w:rStyle w:val="265pt"/>
              </w:rPr>
              <w:t>4КВ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60" w:line="130" w:lineRule="exact"/>
              <w:jc w:val="center"/>
            </w:pPr>
            <w:r>
              <w:rPr>
                <w:rStyle w:val="265pt"/>
              </w:rPr>
              <w:t>Коли</w:t>
            </w:r>
            <w:r>
              <w:rPr>
                <w:rStyle w:val="265pt"/>
              </w:rPr>
              <w:softHyphen/>
            </w:r>
          </w:p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before="60" w:after="0" w:line="130" w:lineRule="exact"/>
              <w:jc w:val="center"/>
            </w:pPr>
            <w:proofErr w:type="spellStart"/>
            <w:r>
              <w:rPr>
                <w:rStyle w:val="265pt"/>
              </w:rPr>
              <w:t>чество</w:t>
            </w:r>
            <w:proofErr w:type="spellEnd"/>
          </w:p>
        </w:tc>
      </w:tr>
      <w:tr w:rsidR="008D4895">
        <w:trPr>
          <w:trHeight w:hRule="exact" w:val="83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Экспертное заключение о соответствии (несоответствии</w:t>
            </w:r>
            <w:proofErr w:type="gramStart"/>
            <w:r>
              <w:rPr>
                <w:rStyle w:val="265pt"/>
              </w:rPr>
              <w:t>)г</w:t>
            </w:r>
            <w:proofErr w:type="gramEnd"/>
            <w:r>
              <w:rPr>
                <w:rStyle w:val="265pt"/>
              </w:rPr>
              <w:t>осударственным санитарно-эпидемиологическим требованиям результатов лабораторных исследований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32</w:t>
            </w:r>
          </w:p>
        </w:tc>
      </w:tr>
      <w:tr w:rsidR="008D4895">
        <w:trPr>
          <w:trHeight w:hRule="exact" w:val="178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 xml:space="preserve">Сан </w:t>
            </w:r>
            <w:proofErr w:type="spellStart"/>
            <w:r>
              <w:rPr>
                <w:rStyle w:val="265pt"/>
              </w:rPr>
              <w:t>итарно-эпидемиологическая</w:t>
            </w:r>
            <w:proofErr w:type="spellEnd"/>
            <w:r>
              <w:rPr>
                <w:rStyle w:val="265pt"/>
              </w:rPr>
              <w:t xml:space="preserve"> экспертиза результатов инструментальных исследований физических факторов, радиологических исследований и </w:t>
            </w:r>
            <w:proofErr w:type="spellStart"/>
            <w:r>
              <w:rPr>
                <w:rStyle w:val="265pt"/>
              </w:rPr>
              <w:t>измерений</w:t>
            </w:r>
            <w:proofErr w:type="gramStart"/>
            <w:r>
              <w:rPr>
                <w:rStyle w:val="265pt"/>
              </w:rPr>
              <w:t>,и</w:t>
            </w:r>
            <w:proofErr w:type="gramEnd"/>
            <w:r>
              <w:rPr>
                <w:rStyle w:val="265pt"/>
              </w:rPr>
              <w:t>сследований</w:t>
            </w:r>
            <w:proofErr w:type="spellEnd"/>
            <w:r>
              <w:rPr>
                <w:rStyle w:val="265pt"/>
              </w:rPr>
              <w:t xml:space="preserve"> воздуха атмосферного, рабочей зоны, закрытых помещений и выдача по ним заключения по 1 нормирующему показателю ( кроме шума и вибрации) в одном помещении, комнате жилых и общественных зданий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</w:tr>
      <w:tr w:rsidR="008D4895">
        <w:trPr>
          <w:trHeight w:hRule="exact" w:val="66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Определение ОКБ (ТКБ) в воде бассейнов, сточных водах, открытых водоемах и в воде, расфасованной в емкости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24</w:t>
            </w:r>
          </w:p>
        </w:tc>
      </w:tr>
      <w:tr w:rsidR="008D4895">
        <w:trPr>
          <w:trHeight w:hRule="exact" w:val="18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 xml:space="preserve">Определение </w:t>
            </w:r>
            <w:proofErr w:type="spellStart"/>
            <w:r>
              <w:rPr>
                <w:rStyle w:val="265pt"/>
              </w:rPr>
              <w:t>колифгов</w:t>
            </w:r>
            <w:proofErr w:type="spellEnd"/>
            <w:r>
              <w:rPr>
                <w:rStyle w:val="265pt"/>
              </w:rPr>
              <w:t xml:space="preserve"> с обогащением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24</w:t>
            </w:r>
          </w:p>
        </w:tc>
      </w:tr>
      <w:tr w:rsidR="008D4895">
        <w:trPr>
          <w:trHeight w:hRule="exact" w:val="509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63" w:lineRule="exact"/>
            </w:pPr>
            <w:r>
              <w:rPr>
                <w:rStyle w:val="265pt"/>
              </w:rPr>
              <w:t xml:space="preserve">Исследование на патогенный стафилококк </w:t>
            </w:r>
            <w:r w:rsidRPr="003D16C7">
              <w:rPr>
                <w:rStyle w:val="265pt"/>
                <w:lang w:eastAsia="en-US" w:bidi="en-US"/>
              </w:rPr>
              <w:t>(</w:t>
            </w:r>
            <w:r>
              <w:rPr>
                <w:rStyle w:val="265pt"/>
                <w:lang w:val="en-US" w:eastAsia="en-US" w:bidi="en-US"/>
              </w:rPr>
              <w:t>S</w:t>
            </w:r>
            <w:r w:rsidRPr="003D16C7">
              <w:rPr>
                <w:rStyle w:val="265pt"/>
                <w:lang w:eastAsia="en-US" w:bidi="en-US"/>
              </w:rPr>
              <w:t xml:space="preserve">. </w:t>
            </w:r>
            <w:proofErr w:type="spellStart"/>
            <w:r>
              <w:rPr>
                <w:rStyle w:val="265pt"/>
                <w:lang w:val="en-US" w:eastAsia="en-US" w:bidi="en-US"/>
              </w:rPr>
              <w:t>aureus</w:t>
            </w:r>
            <w:proofErr w:type="spellEnd"/>
            <w:r w:rsidRPr="003D16C7">
              <w:rPr>
                <w:rStyle w:val="265pt"/>
                <w:lang w:eastAsia="en-US" w:bidi="en-US"/>
              </w:rPr>
              <w:t xml:space="preserve">) </w:t>
            </w:r>
            <w:r>
              <w:rPr>
                <w:rStyle w:val="265pt"/>
              </w:rPr>
              <w:t>в открытых водоемах, плавательных бассейнах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24</w:t>
            </w:r>
          </w:p>
        </w:tc>
      </w:tr>
      <w:tr w:rsidR="008D4895">
        <w:trPr>
          <w:trHeight w:hRule="exact" w:val="35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 xml:space="preserve">Смывы на БГКП ( </w:t>
            </w:r>
            <w:proofErr w:type="spellStart"/>
            <w:r>
              <w:rPr>
                <w:rStyle w:val="265pt"/>
                <w:lang w:val="en-US" w:eastAsia="en-US" w:bidi="en-US"/>
              </w:rPr>
              <w:t>ceM</w:t>
            </w:r>
            <w:proofErr w:type="spellEnd"/>
            <w:r w:rsidRPr="003D16C7">
              <w:rPr>
                <w:rStyle w:val="265pt"/>
                <w:lang w:eastAsia="en-US" w:bidi="en-US"/>
              </w:rPr>
              <w:t>.</w:t>
            </w:r>
            <w:proofErr w:type="spellStart"/>
            <w:r>
              <w:rPr>
                <w:rStyle w:val="265pt"/>
                <w:lang w:val="en-US" w:eastAsia="en-US" w:bidi="en-US"/>
              </w:rPr>
              <w:t>Enterobacteriaceae</w:t>
            </w:r>
            <w:proofErr w:type="spellEnd"/>
            <w:r w:rsidRPr="003D16C7">
              <w:rPr>
                <w:rStyle w:val="265pt"/>
                <w:lang w:eastAsia="en-US" w:bidi="en-US"/>
              </w:rPr>
              <w:t xml:space="preserve">) </w:t>
            </w:r>
            <w:r>
              <w:rPr>
                <w:rStyle w:val="265pt"/>
              </w:rPr>
              <w:t>для лечебных учреждений ( 0,1% п</w:t>
            </w:r>
            <w:proofErr w:type="gramStart"/>
            <w:r>
              <w:rPr>
                <w:rStyle w:val="265pt"/>
              </w:rPr>
              <w:t>.в</w:t>
            </w:r>
            <w:proofErr w:type="gramEnd"/>
            <w:r>
              <w:rPr>
                <w:rStyle w:val="265pt"/>
              </w:rPr>
              <w:t>)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60</w:t>
            </w:r>
          </w:p>
        </w:tc>
      </w:tr>
      <w:tr w:rsidR="008D4895">
        <w:trPr>
          <w:trHeight w:hRule="exact" w:val="840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7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63" w:lineRule="exact"/>
            </w:pPr>
            <w:proofErr w:type="spellStart"/>
            <w:r>
              <w:rPr>
                <w:rStyle w:val="265pt"/>
              </w:rPr>
              <w:t>Санитарно-паразитологическое</w:t>
            </w:r>
            <w:proofErr w:type="spellEnd"/>
            <w:r>
              <w:rPr>
                <w:rStyle w:val="265pt"/>
              </w:rPr>
              <w:t xml:space="preserve"> исследование смывов с </w:t>
            </w:r>
            <w:proofErr w:type="spellStart"/>
            <w:r>
              <w:rPr>
                <w:rStyle w:val="265pt"/>
              </w:rPr>
              <w:t>обьектов</w:t>
            </w:r>
            <w:proofErr w:type="spellEnd"/>
            <w:r>
              <w:rPr>
                <w:rStyle w:val="265pt"/>
              </w:rPr>
              <w:t xml:space="preserve"> внешней среды, с овощей и фруктов, с рук персонала на яйца гельминтов и цисты простейших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5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20</w:t>
            </w:r>
          </w:p>
        </w:tc>
      </w:tr>
      <w:tr w:rsidR="008D4895">
        <w:trPr>
          <w:trHeight w:hRule="exact" w:val="667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8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proofErr w:type="spellStart"/>
            <w:r>
              <w:rPr>
                <w:rStyle w:val="265pt"/>
              </w:rPr>
              <w:t>Санитарно-паразитологическое</w:t>
            </w:r>
            <w:proofErr w:type="spellEnd"/>
            <w:r>
              <w:rPr>
                <w:rStyle w:val="265pt"/>
              </w:rPr>
              <w:t xml:space="preserve"> исследование воды бассейнов на яйца и личинки гельминтов, цисты патогенных простейших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4</w:t>
            </w:r>
          </w:p>
        </w:tc>
      </w:tr>
      <w:tr w:rsidR="008D4895">
        <w:trPr>
          <w:trHeight w:hRule="exact" w:val="34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9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Измерение искусственной освещенности в одной точке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</w:tr>
      <w:tr w:rsidR="008D4895">
        <w:trPr>
          <w:trHeight w:hRule="exact" w:val="341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10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Измерение скорости движения воздуха в одной точке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</w:tr>
      <w:tr w:rsidR="008D4895">
        <w:trPr>
          <w:trHeight w:hRule="exact" w:val="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58" w:lineRule="exact"/>
            </w:pPr>
            <w:r>
              <w:rPr>
                <w:rStyle w:val="265pt"/>
              </w:rPr>
              <w:t>Измерение температуры и влажности в одной точке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8D4895">
            <w:pPr>
              <w:framePr w:w="6960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2</w:t>
            </w:r>
          </w:p>
        </w:tc>
      </w:tr>
      <w:tr w:rsidR="008D4895">
        <w:trPr>
          <w:trHeight w:hRule="exact" w:val="18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мутности в воде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0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  <w:tr w:rsidR="008D4895">
        <w:trPr>
          <w:trHeight w:hRule="exact" w:val="18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цвета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  <w:tr w:rsidR="008D4895">
        <w:trPr>
          <w:trHeight w:hRule="exact" w:val="192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запаха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  <w:tr w:rsidR="008D4895">
        <w:trPr>
          <w:trHeight w:hRule="exact" w:val="20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15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</w:pPr>
            <w:r>
              <w:rPr>
                <w:rStyle w:val="265pt"/>
              </w:rPr>
              <w:t>Определение хлороформа в воде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center"/>
            </w:pPr>
            <w:proofErr w:type="spellStart"/>
            <w:proofErr w:type="gramStart"/>
            <w:r>
              <w:rPr>
                <w:rStyle w:val="265pt"/>
              </w:rPr>
              <w:t>ед</w:t>
            </w:r>
            <w:proofErr w:type="spellEnd"/>
            <w:proofErr w:type="gram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4895" w:rsidRDefault="003D16C7">
            <w:pPr>
              <w:pStyle w:val="20"/>
              <w:framePr w:w="6960" w:wrap="notBeside" w:vAnchor="text" w:hAnchor="text" w:y="1"/>
              <w:shd w:val="clear" w:color="auto" w:fill="auto"/>
              <w:spacing w:after="0" w:line="130" w:lineRule="exact"/>
              <w:jc w:val="right"/>
            </w:pPr>
            <w:r>
              <w:rPr>
                <w:rStyle w:val="265pt"/>
              </w:rPr>
              <w:t>12</w:t>
            </w:r>
          </w:p>
        </w:tc>
      </w:tr>
    </w:tbl>
    <w:p w:rsidR="008D4895" w:rsidRDefault="008D4895">
      <w:pPr>
        <w:framePr w:w="6960" w:wrap="notBeside" w:vAnchor="text" w:hAnchor="text" w:y="1"/>
        <w:rPr>
          <w:sz w:val="2"/>
          <w:szCs w:val="2"/>
        </w:rPr>
      </w:pPr>
    </w:p>
    <w:p w:rsidR="008D4895" w:rsidRDefault="008D4895">
      <w:pPr>
        <w:rPr>
          <w:sz w:val="2"/>
          <w:szCs w:val="2"/>
        </w:rPr>
      </w:pPr>
    </w:p>
    <w:p w:rsidR="008D4895" w:rsidRDefault="008D4895">
      <w:pPr>
        <w:rPr>
          <w:sz w:val="2"/>
          <w:szCs w:val="2"/>
        </w:rPr>
      </w:pPr>
    </w:p>
    <w:sectPr w:rsidR="008D4895" w:rsidSect="00BA1C0B">
      <w:headerReference w:type="default" r:id="rId8"/>
      <w:pgSz w:w="11900" w:h="16840"/>
      <w:pgMar w:top="1993" w:right="454" w:bottom="1993" w:left="7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464" w:rsidRDefault="00044464">
      <w:r>
        <w:separator/>
      </w:r>
    </w:p>
  </w:endnote>
  <w:endnote w:type="continuationSeparator" w:id="0">
    <w:p w:rsidR="00044464" w:rsidRDefault="00044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464" w:rsidRDefault="00044464"/>
  </w:footnote>
  <w:footnote w:type="continuationSeparator" w:id="0">
    <w:p w:rsidR="00044464" w:rsidRDefault="0004446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95" w:rsidRDefault="00BA1C0B">
    <w:pPr>
      <w:rPr>
        <w:sz w:val="2"/>
        <w:szCs w:val="2"/>
      </w:rPr>
    </w:pPr>
    <w:r w:rsidRPr="00BA1C0B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64.6pt;margin-top:27.6pt;width:57.6pt;height:10.3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Aq+pwIAAKYFAAAOAAAAZHJzL2Uyb0RvYy54bWysVNtunDAQfa/Uf7D8TriEvYDCRsmyVJXS&#10;i5T0A7zGLFbBRrazkFb5947NsrtJ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" filled="f" stroked="f">
          <v:textbox style="mso-fit-shape-to-text:t" inset="0,0,0,0">
            <w:txbxContent>
              <w:p w:rsidR="008D4895" w:rsidRDefault="003D16C7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ДОГОВОР №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95" w:rsidRDefault="008D489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26CEA"/>
    <w:multiLevelType w:val="multilevel"/>
    <w:tmpl w:val="3D0EB482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4F60E48"/>
    <w:multiLevelType w:val="multilevel"/>
    <w:tmpl w:val="3CC6D08A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8D4895"/>
    <w:rsid w:val="00044464"/>
    <w:rsid w:val="003D16C7"/>
    <w:rsid w:val="0062002A"/>
    <w:rsid w:val="008D4895"/>
    <w:rsid w:val="00BA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A1C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1C0B"/>
    <w:rPr>
      <w:color w:val="0066CC"/>
      <w:u w:val="single"/>
    </w:rPr>
  </w:style>
  <w:style w:type="character" w:customStyle="1" w:styleId="4Exact">
    <w:name w:val="Основной текст (4) Exact"/>
    <w:basedOn w:val="a0"/>
    <w:link w:val="4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Колонтитул_"/>
    <w:basedOn w:val="a0"/>
    <w:link w:val="a5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sid w:val="00BA1C0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8pt-1pt">
    <w:name w:val="Основной текст (2) + 8 pt;Курсив;Интервал -1 pt"/>
    <w:basedOn w:val="2"/>
    <w:rsid w:val="00BA1C0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BA1C0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5pt">
    <w:name w:val="Основной текст (2) + 6;5 pt"/>
    <w:basedOn w:val="2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65pt0">
    <w:name w:val="Основной текст (2) + 6;5 pt"/>
    <w:basedOn w:val="2"/>
    <w:rsid w:val="00BA1C0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4">
    <w:name w:val="Основной текст (4)"/>
    <w:basedOn w:val="a"/>
    <w:link w:val="4Exact"/>
    <w:rsid w:val="00BA1C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20">
    <w:name w:val="Основной текст (2)"/>
    <w:basedOn w:val="a"/>
    <w:link w:val="2"/>
    <w:rsid w:val="00BA1C0B"/>
    <w:pPr>
      <w:shd w:val="clear" w:color="auto" w:fill="FFFFFF"/>
      <w:spacing w:after="720"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5">
    <w:name w:val="Колонтитул"/>
    <w:basedOn w:val="a"/>
    <w:link w:val="a4"/>
    <w:rsid w:val="00BA1C0B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8"/>
      <w:szCs w:val="18"/>
    </w:rPr>
  </w:style>
  <w:style w:type="paragraph" w:customStyle="1" w:styleId="10">
    <w:name w:val="Заголовок №1"/>
    <w:basedOn w:val="a"/>
    <w:link w:val="1"/>
    <w:rsid w:val="00BA1C0B"/>
    <w:pPr>
      <w:shd w:val="clear" w:color="auto" w:fill="FFFFFF"/>
      <w:spacing w:before="120" w:after="120" w:line="0" w:lineRule="atLeast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BA1C0B"/>
    <w:pPr>
      <w:shd w:val="clear" w:color="auto" w:fill="FFFFFF"/>
      <w:spacing w:before="660" w:after="420" w:line="0" w:lineRule="atLeast"/>
      <w:jc w:val="right"/>
    </w:pPr>
    <w:rPr>
      <w:rFonts w:ascii="Arial" w:eastAsia="Arial" w:hAnsi="Arial" w:cs="Arial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BA1C0B"/>
    <w:pPr>
      <w:shd w:val="clear" w:color="auto" w:fill="FFFFFF"/>
      <w:spacing w:after="600"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6200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002A"/>
    <w:rPr>
      <w:color w:val="000000"/>
    </w:rPr>
  </w:style>
  <w:style w:type="paragraph" w:styleId="a9">
    <w:name w:val="footer"/>
    <w:basedOn w:val="a"/>
    <w:link w:val="aa"/>
    <w:uiPriority w:val="99"/>
    <w:semiHidden/>
    <w:unhideWhenUsed/>
    <w:rsid w:val="006200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2002A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62002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02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1513</Words>
  <Characters>8629</Characters>
  <Application>Microsoft Office Word</Application>
  <DocSecurity>0</DocSecurity>
  <Lines>71</Lines>
  <Paragraphs>20</Paragraphs>
  <ScaleCrop>false</ScaleCrop>
  <Company/>
  <LinksUpToDate>false</LinksUpToDate>
  <CharactersWithSpaces>10122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Тимофеев</dc:creator>
  <cp:lastModifiedBy>ZHUIKOV</cp:lastModifiedBy>
  <cp:revision>3</cp:revision>
  <cp:lastPrinted>2018-02-02T12:46:00Z</cp:lastPrinted>
  <dcterms:created xsi:type="dcterms:W3CDTF">2018-02-02T12:09:00Z</dcterms:created>
  <dcterms:modified xsi:type="dcterms:W3CDTF">2018-02-02T12:46:00Z</dcterms:modified>
</cp:coreProperties>
</file>